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939"/>
        <w:gridCol w:w="3760"/>
      </w:tblGrid>
      <w:tr w:rsidR="00C65282" w:rsidTr="00FD749A">
        <w:trPr>
          <w:cantSplit/>
          <w:trHeight w:val="269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2" w:rsidRPr="00DE00E7" w:rsidRDefault="00C65282" w:rsidP="006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>ортостан Республикаһы</w:t>
            </w:r>
          </w:p>
          <w:p w:rsidR="00C65282" w:rsidRPr="00DE00E7" w:rsidRDefault="00C65282" w:rsidP="00641A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 xml:space="preserve">Борай районы муниципаль районының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>үзбай ауыл советы ауыл биләмәһе советы</w:t>
            </w:r>
          </w:p>
          <w:p w:rsidR="00C65282" w:rsidRDefault="00C65282" w:rsidP="00641A9C">
            <w:pPr>
              <w:jc w:val="center"/>
              <w:rPr>
                <w:rFonts w:ascii="B7Ari" w:hAnsi="B7Ari" w:cs="B7Ari"/>
              </w:rPr>
            </w:pPr>
          </w:p>
          <w:p w:rsidR="00C65282" w:rsidRDefault="00C65282" w:rsidP="00641A9C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C65282" w:rsidRPr="00DE00E7" w:rsidRDefault="00C65282" w:rsidP="00641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r w:rsidRPr="00DE00E7">
              <w:rPr>
                <w:rFonts w:ascii="Times New Roman" w:hAnsi="Times New Roman"/>
              </w:rPr>
              <w:t xml:space="preserve">Борай районы  </w:t>
            </w:r>
          </w:p>
          <w:p w:rsidR="00C65282" w:rsidRPr="00E81955" w:rsidRDefault="00C65282" w:rsidP="00641A9C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 xml:space="preserve">үзбай ауылы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урамы,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C65282" w:rsidRDefault="00C65282" w:rsidP="00641A9C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2" w:rsidRDefault="00C65282" w:rsidP="00641A9C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6563595" r:id="rId6"/>
              </w:objec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2" w:rsidRPr="00DE00E7" w:rsidRDefault="00C65282" w:rsidP="00641A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C65282" w:rsidRPr="00DE00E7" w:rsidRDefault="00C65282" w:rsidP="006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C65282" w:rsidRPr="00DE00E7" w:rsidRDefault="00C65282" w:rsidP="00641A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C65282" w:rsidRDefault="00C65282" w:rsidP="00641A9C">
            <w:pPr>
              <w:jc w:val="center"/>
              <w:rPr>
                <w:rFonts w:ascii="B7Ari" w:hAnsi="B7Ari" w:cs="B7Ari"/>
              </w:rPr>
            </w:pPr>
          </w:p>
          <w:p w:rsidR="00C65282" w:rsidRPr="00DE00E7" w:rsidRDefault="00C65282" w:rsidP="00641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C65282" w:rsidRDefault="00C65282" w:rsidP="00641A9C">
            <w:pPr>
              <w:spacing w:after="0"/>
              <w:jc w:val="center"/>
            </w:pPr>
            <w:r w:rsidRPr="00DE00E7">
              <w:rPr>
                <w:rFonts w:ascii="Times New Roman" w:hAnsi="Times New Roman"/>
              </w:rPr>
              <w:t>д.Кузбаево,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r w:rsidRPr="00DE00E7">
              <w:rPr>
                <w:rFonts w:ascii="Times New Roman" w:hAnsi="Times New Roman"/>
              </w:rPr>
              <w:t>ьная,</w:t>
            </w:r>
            <w:r>
              <w:t xml:space="preserve"> 9</w:t>
            </w:r>
          </w:p>
          <w:p w:rsidR="00C65282" w:rsidRDefault="00C65282" w:rsidP="00641A9C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3C73A5" w:rsidRPr="00116E18" w:rsidRDefault="00116E18" w:rsidP="00116E18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116E18">
        <w:rPr>
          <w:color w:val="000000"/>
          <w:sz w:val="28"/>
        </w:rPr>
        <w:t xml:space="preserve">Пятнадцатое заседание </w:t>
      </w:r>
      <w:r>
        <w:rPr>
          <w:color w:val="000000"/>
          <w:sz w:val="28"/>
        </w:rPr>
        <w:t xml:space="preserve">        </w:t>
      </w:r>
      <w:r w:rsidRPr="00116E18">
        <w:rPr>
          <w:color w:val="000000"/>
          <w:sz w:val="28"/>
        </w:rPr>
        <w:t xml:space="preserve">                                                          27-</w:t>
      </w:r>
      <w:r w:rsidR="00FD749A">
        <w:rPr>
          <w:color w:val="000000"/>
          <w:sz w:val="28"/>
        </w:rPr>
        <w:t>го созыва</w:t>
      </w:r>
      <w:bookmarkStart w:id="0" w:name="_GoBack"/>
      <w:bookmarkEnd w:id="0"/>
    </w:p>
    <w:p w:rsidR="00116E18" w:rsidRPr="003C73A5" w:rsidRDefault="00116E18" w:rsidP="00116E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73A5" w:rsidRPr="004C5BC6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BC6">
        <w:rPr>
          <w:b/>
          <w:bCs/>
          <w:color w:val="000000"/>
          <w:sz w:val="28"/>
          <w:szCs w:val="28"/>
        </w:rPr>
        <w:t>РЕШЕНИЕ</w:t>
      </w:r>
    </w:p>
    <w:p w:rsidR="003C73A5" w:rsidRPr="004C5BC6" w:rsidRDefault="00C65282" w:rsidP="00EA1D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A1D9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апреля</w:t>
      </w:r>
      <w:r w:rsidR="003C73A5" w:rsidRPr="004C5BC6">
        <w:rPr>
          <w:b/>
          <w:bCs/>
          <w:color w:val="000000"/>
          <w:sz w:val="28"/>
          <w:szCs w:val="28"/>
        </w:rPr>
        <w:t> 201</w:t>
      </w:r>
      <w:r w:rsidR="003C1388" w:rsidRPr="004C5BC6">
        <w:rPr>
          <w:b/>
          <w:bCs/>
          <w:color w:val="000000"/>
          <w:sz w:val="28"/>
          <w:szCs w:val="28"/>
        </w:rPr>
        <w:t>9</w:t>
      </w:r>
      <w:r w:rsidR="003C73A5" w:rsidRPr="004C5BC6">
        <w:rPr>
          <w:b/>
          <w:bCs/>
          <w:color w:val="000000"/>
          <w:sz w:val="28"/>
          <w:szCs w:val="28"/>
        </w:rPr>
        <w:t> года </w:t>
      </w:r>
      <w:r w:rsidR="004C5A5C"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3242A5">
        <w:rPr>
          <w:b/>
          <w:bCs/>
          <w:color w:val="000000"/>
          <w:sz w:val="28"/>
          <w:szCs w:val="28"/>
        </w:rPr>
        <w:t xml:space="preserve">   </w:t>
      </w:r>
      <w:r w:rsidR="00876B95">
        <w:rPr>
          <w:b/>
          <w:bCs/>
          <w:color w:val="000000"/>
          <w:sz w:val="28"/>
          <w:szCs w:val="28"/>
        </w:rPr>
        <w:t xml:space="preserve">      </w:t>
      </w:r>
      <w:r w:rsidR="003242A5">
        <w:rPr>
          <w:b/>
          <w:bCs/>
          <w:color w:val="000000"/>
          <w:sz w:val="28"/>
          <w:szCs w:val="28"/>
        </w:rPr>
        <w:t xml:space="preserve">   </w:t>
      </w:r>
      <w:r w:rsidR="004C5A5C">
        <w:rPr>
          <w:b/>
          <w:bCs/>
          <w:color w:val="000000"/>
          <w:sz w:val="28"/>
          <w:szCs w:val="28"/>
        </w:rPr>
        <w:t xml:space="preserve">   </w:t>
      </w:r>
      <w:r w:rsidR="003C73A5" w:rsidRPr="004C5BC6">
        <w:rPr>
          <w:b/>
          <w:bCs/>
          <w:color w:val="000000"/>
          <w:sz w:val="28"/>
          <w:szCs w:val="28"/>
        </w:rPr>
        <w:t>№</w:t>
      </w:r>
      <w:r w:rsidR="00EA1D93">
        <w:rPr>
          <w:b/>
          <w:bCs/>
          <w:color w:val="000000"/>
          <w:sz w:val="28"/>
          <w:szCs w:val="28"/>
        </w:rPr>
        <w:t xml:space="preserve"> 32</w:t>
      </w:r>
      <w:r w:rsidR="003242A5">
        <w:rPr>
          <w:b/>
          <w:bCs/>
          <w:color w:val="000000"/>
          <w:sz w:val="28"/>
          <w:szCs w:val="28"/>
        </w:rPr>
        <w:t>3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95B">
        <w:rPr>
          <w:color w:val="000000"/>
          <w:sz w:val="32"/>
          <w:szCs w:val="28"/>
        </w:rPr>
        <w:t> </w:t>
      </w:r>
    </w:p>
    <w:p w:rsidR="00F9495B" w:rsidRDefault="003C73A5" w:rsidP="003242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9495B">
        <w:rPr>
          <w:b/>
          <w:bCs/>
          <w:color w:val="000000"/>
          <w:sz w:val="28"/>
          <w:szCs w:val="28"/>
        </w:rPr>
        <w:t xml:space="preserve">Об утверждении </w:t>
      </w:r>
      <w:r w:rsidR="00236AA4" w:rsidRPr="00F9495B">
        <w:rPr>
          <w:b/>
          <w:bCs/>
          <w:color w:val="000000"/>
          <w:sz w:val="28"/>
          <w:szCs w:val="28"/>
        </w:rPr>
        <w:t>П</w:t>
      </w:r>
      <w:r w:rsidRPr="00F9495B">
        <w:rPr>
          <w:b/>
          <w:bCs/>
          <w:color w:val="000000"/>
          <w:sz w:val="28"/>
          <w:szCs w:val="28"/>
        </w:rPr>
        <w:t xml:space="preserve">равил внешнего оформления зданий </w:t>
      </w:r>
    </w:p>
    <w:p w:rsidR="003C73A5" w:rsidRPr="00F9495B" w:rsidRDefault="003C73A5" w:rsidP="003242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28"/>
        </w:rPr>
      </w:pPr>
      <w:r w:rsidRPr="00F9495B">
        <w:rPr>
          <w:b/>
          <w:bCs/>
          <w:color w:val="000000"/>
          <w:sz w:val="28"/>
          <w:szCs w:val="28"/>
        </w:rPr>
        <w:t>и сооружений сельского поселения </w:t>
      </w:r>
      <w:r w:rsidR="00685674" w:rsidRPr="00F9495B">
        <w:rPr>
          <w:b/>
          <w:bCs/>
          <w:color w:val="000000"/>
          <w:sz w:val="28"/>
          <w:szCs w:val="28"/>
        </w:rPr>
        <w:t xml:space="preserve">Кузбаевский </w:t>
      </w:r>
      <w:r w:rsidRPr="00F9495B">
        <w:rPr>
          <w:b/>
          <w:bCs/>
          <w:color w:val="000000"/>
          <w:sz w:val="28"/>
          <w:szCs w:val="28"/>
        </w:rPr>
        <w:t>сельсовет муниципального района </w:t>
      </w:r>
      <w:r w:rsidR="00685674" w:rsidRPr="00F9495B">
        <w:rPr>
          <w:b/>
          <w:bCs/>
          <w:color w:val="000000"/>
          <w:sz w:val="28"/>
          <w:szCs w:val="28"/>
        </w:rPr>
        <w:t>Бураевский</w:t>
      </w:r>
      <w:r w:rsidRPr="00F9495B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242A5" w:rsidRPr="00F9495B" w:rsidRDefault="003242A5" w:rsidP="004C5A5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32"/>
          <w:szCs w:val="28"/>
        </w:rPr>
      </w:pP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>В соответствии с Федеральным </w:t>
      </w:r>
      <w:hyperlink r:id="rId7" w:tgtFrame="_blank" w:history="1">
        <w:r w:rsidRPr="00F9495B">
          <w:rPr>
            <w:rStyle w:val="1"/>
            <w:sz w:val="28"/>
          </w:rPr>
          <w:t>законом</w:t>
        </w:r>
      </w:hyperlink>
      <w:r w:rsidRPr="00F9495B">
        <w:rPr>
          <w:sz w:val="28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8" w:tgtFrame="_blank" w:history="1">
        <w:r w:rsidRPr="00F9495B">
          <w:rPr>
            <w:rStyle w:val="1"/>
            <w:sz w:val="28"/>
          </w:rPr>
          <w:t>законом</w:t>
        </w:r>
      </w:hyperlink>
      <w:r w:rsidRPr="00F9495B">
        <w:rPr>
          <w:sz w:val="28"/>
        </w:rPr>
        <w:t> от 01.01.01 года № 52-ФЗ "О санитарно-эпидемиологическом благополучии населения"</w:t>
      </w:r>
      <w:r w:rsidR="00FC36AC" w:rsidRPr="00F9495B">
        <w:rPr>
          <w:sz w:val="28"/>
        </w:rPr>
        <w:t>, Градостроительным </w:t>
      </w:r>
      <w:hyperlink r:id="rId9" w:tgtFrame="_blank" w:history="1">
        <w:r w:rsidR="00FC36AC" w:rsidRPr="00F9495B">
          <w:rPr>
            <w:rStyle w:val="1"/>
            <w:sz w:val="28"/>
          </w:rPr>
          <w:t>кодексом</w:t>
        </w:r>
      </w:hyperlink>
      <w:r w:rsidR="00FC36AC" w:rsidRPr="00F9495B">
        <w:rPr>
          <w:sz w:val="28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F9495B">
        <w:rPr>
          <w:sz w:val="28"/>
        </w:rPr>
        <w:t>, Совет сельского поселения </w:t>
      </w:r>
      <w:r w:rsidR="00685674" w:rsidRPr="00F9495B">
        <w:rPr>
          <w:sz w:val="28"/>
        </w:rPr>
        <w:t xml:space="preserve">Кузбаевский </w:t>
      </w:r>
      <w:r w:rsidRPr="00F9495B">
        <w:rPr>
          <w:sz w:val="28"/>
        </w:rPr>
        <w:t>сельсовет муниципального района </w:t>
      </w:r>
      <w:r w:rsidR="00685674" w:rsidRPr="00F9495B">
        <w:rPr>
          <w:sz w:val="28"/>
        </w:rPr>
        <w:t>Бураевский</w:t>
      </w:r>
      <w:r w:rsidRPr="00F9495B">
        <w:rPr>
          <w:sz w:val="28"/>
        </w:rPr>
        <w:t xml:space="preserve"> район Республики Башкортостан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>РЕШИЛ: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>1. Утвердить Правила внешнего оформления зданий и сооружений сельского поселения </w:t>
      </w:r>
      <w:r w:rsidR="00685674" w:rsidRPr="00F9495B">
        <w:rPr>
          <w:sz w:val="28"/>
        </w:rPr>
        <w:t>Кузбаевский</w:t>
      </w:r>
      <w:r w:rsidRPr="00F9495B">
        <w:rPr>
          <w:sz w:val="28"/>
        </w:rPr>
        <w:t xml:space="preserve"> сельсовет муниципального района </w:t>
      </w:r>
      <w:r w:rsidR="00685674" w:rsidRPr="00F9495B">
        <w:rPr>
          <w:sz w:val="28"/>
        </w:rPr>
        <w:t>Бураевский</w:t>
      </w:r>
      <w:r w:rsidRPr="00F9495B">
        <w:rPr>
          <w:sz w:val="28"/>
        </w:rPr>
        <w:t xml:space="preserve"> район Республики Башкортостан.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685674" w:rsidRPr="00F9495B">
        <w:rPr>
          <w:sz w:val="28"/>
        </w:rPr>
        <w:t xml:space="preserve">Кузбаевский </w:t>
      </w:r>
      <w:r w:rsidRPr="00F9495B">
        <w:rPr>
          <w:sz w:val="28"/>
        </w:rPr>
        <w:t>сельсовет муниципального района </w:t>
      </w:r>
      <w:r w:rsidR="00685674" w:rsidRPr="00F9495B">
        <w:rPr>
          <w:sz w:val="28"/>
        </w:rPr>
        <w:t>Бураевский</w:t>
      </w:r>
      <w:r w:rsidRPr="00F9495B">
        <w:rPr>
          <w:sz w:val="28"/>
        </w:rPr>
        <w:t xml:space="preserve"> район Республики Башкортостан.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>3. Контроль за исполнением данного решения возложить на постоянную комиссию Совета</w:t>
      </w:r>
      <w:r w:rsidR="003242A5" w:rsidRPr="00F9495B">
        <w:rPr>
          <w:sz w:val="28"/>
        </w:rPr>
        <w:t xml:space="preserve"> по развитию предпринимательства, земельным вопросам, благоустройству и экологии</w:t>
      </w:r>
      <w:r w:rsidRPr="00F9495B">
        <w:rPr>
          <w:sz w:val="28"/>
        </w:rPr>
        <w:t>.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>4. Настоящее решение вступает в силу со дня обнародования.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> 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9495B">
        <w:rPr>
          <w:sz w:val="28"/>
        </w:rPr>
        <w:t> </w:t>
      </w:r>
    </w:p>
    <w:p w:rsidR="003C73A5" w:rsidRPr="00F9495B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b/>
          <w:sz w:val="28"/>
        </w:rPr>
      </w:pPr>
      <w:r w:rsidRPr="00F9495B">
        <w:rPr>
          <w:b/>
          <w:sz w:val="28"/>
        </w:rPr>
        <w:t> </w:t>
      </w:r>
    </w:p>
    <w:p w:rsidR="003C73A5" w:rsidRPr="00F9495B" w:rsidRDefault="003C73A5" w:rsidP="00F9495B">
      <w:pPr>
        <w:pStyle w:val="a3"/>
        <w:spacing w:before="0" w:beforeAutospacing="0" w:after="0" w:afterAutospacing="0"/>
        <w:rPr>
          <w:b/>
          <w:sz w:val="28"/>
        </w:rPr>
      </w:pPr>
      <w:r w:rsidRPr="00F9495B">
        <w:rPr>
          <w:b/>
          <w:sz w:val="28"/>
        </w:rPr>
        <w:t>Глава сельского поселения</w:t>
      </w:r>
      <w:r w:rsidR="00685674" w:rsidRPr="00F9495B">
        <w:rPr>
          <w:b/>
          <w:sz w:val="28"/>
        </w:rPr>
        <w:t xml:space="preserve">                </w:t>
      </w:r>
      <w:r w:rsidR="00F9495B" w:rsidRPr="00F9495B">
        <w:rPr>
          <w:b/>
          <w:sz w:val="28"/>
        </w:rPr>
        <w:t xml:space="preserve">      </w:t>
      </w:r>
      <w:r w:rsidR="00685674" w:rsidRPr="00F9495B">
        <w:rPr>
          <w:b/>
          <w:sz w:val="28"/>
        </w:rPr>
        <w:t xml:space="preserve"> </w:t>
      </w:r>
      <w:r w:rsidR="00F9495B" w:rsidRPr="00F9495B">
        <w:rPr>
          <w:b/>
          <w:sz w:val="28"/>
        </w:rPr>
        <w:t xml:space="preserve">       </w:t>
      </w:r>
      <w:r w:rsidR="00685674" w:rsidRPr="00F9495B">
        <w:rPr>
          <w:b/>
          <w:sz w:val="28"/>
        </w:rPr>
        <w:t xml:space="preserve">               Р.М. Габдулхакова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right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</w:t>
      </w:r>
    </w:p>
    <w:p w:rsidR="00C65282" w:rsidRDefault="00C65282" w:rsidP="00F9495B">
      <w:pPr>
        <w:pStyle w:val="a3"/>
        <w:spacing w:before="0" w:beforeAutospacing="0" w:after="0" w:afterAutospacing="0"/>
      </w:pPr>
    </w:p>
    <w:p w:rsidR="00F9495B" w:rsidRDefault="00F9495B" w:rsidP="00F9495B">
      <w:pPr>
        <w:pStyle w:val="a3"/>
        <w:spacing w:before="0" w:beforeAutospacing="0" w:after="0" w:afterAutospacing="0"/>
      </w:pPr>
    </w:p>
    <w:p w:rsidR="003C73A5" w:rsidRPr="00EF4D9C" w:rsidRDefault="003C73A5" w:rsidP="003C1388">
      <w:pPr>
        <w:pStyle w:val="a3"/>
        <w:spacing w:before="0" w:beforeAutospacing="0" w:after="0" w:afterAutospacing="0"/>
        <w:ind w:firstLine="6096"/>
      </w:pPr>
      <w:r w:rsidRPr="00EF4D9C">
        <w:t>Приложение</w:t>
      </w:r>
    </w:p>
    <w:p w:rsidR="003C1388" w:rsidRPr="00EF4D9C" w:rsidRDefault="003C73A5" w:rsidP="003C1388">
      <w:pPr>
        <w:pStyle w:val="a3"/>
        <w:spacing w:before="0" w:beforeAutospacing="0" w:after="0" w:afterAutospacing="0"/>
        <w:ind w:firstLine="6096"/>
      </w:pPr>
      <w:r w:rsidRPr="00EF4D9C">
        <w:t>к решению Совета</w:t>
      </w:r>
    </w:p>
    <w:p w:rsidR="003C73A5" w:rsidRPr="00EF4D9C" w:rsidRDefault="003C73A5" w:rsidP="003C1388">
      <w:pPr>
        <w:pStyle w:val="a3"/>
        <w:spacing w:before="0" w:beforeAutospacing="0" w:after="0" w:afterAutospacing="0"/>
        <w:ind w:firstLine="6096"/>
      </w:pPr>
      <w:r w:rsidRPr="00EF4D9C">
        <w:t>сельского поселения</w:t>
      </w:r>
    </w:p>
    <w:p w:rsidR="003C73A5" w:rsidRPr="00EF4D9C" w:rsidRDefault="00685674" w:rsidP="003C1388">
      <w:pPr>
        <w:pStyle w:val="a3"/>
        <w:spacing w:before="0" w:beforeAutospacing="0" w:after="0" w:afterAutospacing="0"/>
        <w:ind w:firstLine="6096"/>
      </w:pPr>
      <w:r w:rsidRPr="00EF4D9C">
        <w:t>Кузбаевский</w:t>
      </w:r>
      <w:r w:rsidR="003C73A5" w:rsidRPr="00EF4D9C">
        <w:t xml:space="preserve"> сельсовет</w:t>
      </w:r>
    </w:p>
    <w:p w:rsidR="003C1388" w:rsidRPr="00EF4D9C" w:rsidRDefault="003C1388" w:rsidP="003C1388">
      <w:pPr>
        <w:pStyle w:val="a3"/>
        <w:spacing w:before="0" w:beforeAutospacing="0" w:after="0" w:afterAutospacing="0"/>
        <w:ind w:firstLine="6096"/>
      </w:pPr>
      <w:r w:rsidRPr="00EF4D9C">
        <w:t>муниципального района </w:t>
      </w:r>
    </w:p>
    <w:p w:rsidR="003C73A5" w:rsidRPr="00EF4D9C" w:rsidRDefault="00685674" w:rsidP="003C1388">
      <w:pPr>
        <w:pStyle w:val="a3"/>
        <w:spacing w:before="0" w:beforeAutospacing="0" w:after="0" w:afterAutospacing="0"/>
        <w:ind w:firstLine="6096"/>
      </w:pPr>
      <w:r w:rsidRPr="00EF4D9C">
        <w:t>Бураевский</w:t>
      </w:r>
      <w:r w:rsidR="003C73A5" w:rsidRPr="00EF4D9C">
        <w:t xml:space="preserve"> район</w:t>
      </w:r>
    </w:p>
    <w:p w:rsidR="003C73A5" w:rsidRPr="00EF4D9C" w:rsidRDefault="003C73A5" w:rsidP="003C1388">
      <w:pPr>
        <w:pStyle w:val="a3"/>
        <w:spacing w:before="0" w:beforeAutospacing="0" w:after="0" w:afterAutospacing="0"/>
        <w:ind w:firstLine="6096"/>
      </w:pPr>
      <w:r w:rsidRPr="00EF4D9C">
        <w:t>Республики Башкортостан</w:t>
      </w:r>
    </w:p>
    <w:p w:rsidR="003C73A5" w:rsidRPr="00EF4D9C" w:rsidRDefault="003C73A5" w:rsidP="003C1388">
      <w:pPr>
        <w:pStyle w:val="a3"/>
        <w:spacing w:before="0" w:beforeAutospacing="0" w:after="0" w:afterAutospacing="0"/>
        <w:ind w:firstLine="6096"/>
      </w:pPr>
      <w:r w:rsidRPr="00EF4D9C">
        <w:t>от «</w:t>
      </w:r>
      <w:r w:rsidR="00C65282">
        <w:t>1</w:t>
      </w:r>
      <w:r w:rsidR="003242A5">
        <w:t>1</w:t>
      </w:r>
      <w:r w:rsidRPr="00EF4D9C">
        <w:t>» </w:t>
      </w:r>
      <w:r w:rsidR="00C65282">
        <w:t>апреля</w:t>
      </w:r>
      <w:r w:rsidRPr="00EF4D9C">
        <w:t> 201</w:t>
      </w:r>
      <w:r w:rsidR="003C1388" w:rsidRPr="00EF4D9C">
        <w:t>9</w:t>
      </w:r>
      <w:r w:rsidR="00685674" w:rsidRPr="00EF4D9C">
        <w:t xml:space="preserve"> </w:t>
      </w:r>
      <w:r w:rsidRPr="00EF4D9C">
        <w:t xml:space="preserve">г. </w:t>
      </w:r>
      <w:r w:rsidRPr="003242A5">
        <w:t>№</w:t>
      </w:r>
      <w:r w:rsidR="00F9495B">
        <w:t xml:space="preserve"> </w:t>
      </w:r>
      <w:r w:rsidR="003242A5">
        <w:t>323</w:t>
      </w:r>
    </w:p>
    <w:p w:rsidR="003C73A5" w:rsidRPr="00EF4D9C" w:rsidRDefault="003C73A5" w:rsidP="003C1388">
      <w:pPr>
        <w:pStyle w:val="a3"/>
        <w:spacing w:before="0" w:beforeAutospacing="0" w:after="0" w:afterAutospacing="0"/>
        <w:ind w:firstLine="6096"/>
        <w:jc w:val="both"/>
      </w:pPr>
      <w:r w:rsidRPr="00EF4D9C">
        <w:rPr>
          <w:b/>
          <w:bCs/>
        </w:rPr>
        <w:t> </w:t>
      </w:r>
    </w:p>
    <w:p w:rsidR="00236AA4" w:rsidRPr="00EF4D9C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sz w:val="30"/>
          <w:szCs w:val="30"/>
        </w:rPr>
      </w:pPr>
      <w:r w:rsidRPr="00EF4D9C">
        <w:rPr>
          <w:b/>
          <w:bCs/>
          <w:sz w:val="30"/>
          <w:szCs w:val="30"/>
        </w:rPr>
        <w:t>Правила</w:t>
      </w:r>
      <w:r w:rsidRPr="00EF4D9C">
        <w:rPr>
          <w:sz w:val="30"/>
          <w:szCs w:val="30"/>
        </w:rPr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center"/>
      </w:pPr>
      <w:r w:rsidRPr="00EF4D9C">
        <w:rPr>
          <w:b/>
          <w:bCs/>
          <w:sz w:val="30"/>
          <w:szCs w:val="30"/>
        </w:rPr>
        <w:t>внешнего оформления зданий и сооружений сельского поселения </w:t>
      </w:r>
      <w:r w:rsidR="00685674" w:rsidRPr="00EF4D9C">
        <w:rPr>
          <w:b/>
          <w:bCs/>
          <w:sz w:val="30"/>
          <w:szCs w:val="30"/>
        </w:rPr>
        <w:t>Кузбаевский</w:t>
      </w:r>
      <w:r w:rsidRPr="00EF4D9C">
        <w:rPr>
          <w:b/>
          <w:bCs/>
          <w:sz w:val="30"/>
          <w:szCs w:val="30"/>
        </w:rPr>
        <w:t xml:space="preserve"> сельсовет муниципального района </w:t>
      </w:r>
      <w:r w:rsidR="00685674" w:rsidRPr="00EF4D9C">
        <w:rPr>
          <w:b/>
          <w:bCs/>
          <w:sz w:val="30"/>
          <w:szCs w:val="30"/>
        </w:rPr>
        <w:t>Бураевский</w:t>
      </w:r>
      <w:r w:rsidRPr="00EF4D9C">
        <w:rPr>
          <w:b/>
          <w:bCs/>
          <w:sz w:val="30"/>
          <w:szCs w:val="30"/>
        </w:rPr>
        <w:t xml:space="preserve"> район Республики Башкортостан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center"/>
      </w:pPr>
      <w:r w:rsidRPr="00EF4D9C">
        <w:rPr>
          <w:sz w:val="30"/>
          <w:szCs w:val="30"/>
        </w:rPr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rPr>
          <w:b/>
          <w:bCs/>
        </w:rPr>
        <w:t>1.Общие положения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1.1. Правила внешнего оформления зданий и сооружений сельского поселения </w:t>
      </w:r>
      <w:r w:rsidR="00685674" w:rsidRPr="00EF4D9C">
        <w:t>Кузбаевский</w:t>
      </w:r>
      <w:r w:rsidRPr="00EF4D9C">
        <w:t xml:space="preserve"> сельсовет муниципального района </w:t>
      </w:r>
      <w:r w:rsidR="00685674" w:rsidRPr="00EF4D9C">
        <w:t>Бураевский</w:t>
      </w:r>
      <w:r w:rsidRPr="00EF4D9C">
        <w:t xml:space="preserve"> район Республики Башкортостан (далее - Правила) разработаны и утверждены в соответствии с Федеральным </w:t>
      </w:r>
      <w:hyperlink r:id="rId10" w:tgtFrame="_blank" w:history="1">
        <w:r w:rsidRPr="00EF4D9C">
          <w:rPr>
            <w:rStyle w:val="1"/>
          </w:rPr>
          <w:t>законом</w:t>
        </w:r>
      </w:hyperlink>
      <w:r w:rsidRPr="00EF4D9C"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11" w:tgtFrame="_blank" w:history="1">
        <w:r w:rsidRPr="00EF4D9C">
          <w:rPr>
            <w:rStyle w:val="1"/>
          </w:rPr>
          <w:t>законом</w:t>
        </w:r>
      </w:hyperlink>
      <w:r w:rsidRPr="00EF4D9C">
        <w:t> от 01.01.01 года N 52-ФЗ "О санитарно-эпидемиологическом благополучии населения", Градостроительным </w:t>
      </w:r>
      <w:hyperlink r:id="rId12" w:tgtFrame="_blank" w:history="1">
        <w:r w:rsidRPr="00EF4D9C">
          <w:rPr>
            <w:rStyle w:val="1"/>
          </w:rPr>
          <w:t>кодексом</w:t>
        </w:r>
      </w:hyperlink>
      <w:r w:rsidRPr="00EF4D9C">
        <w:t xml:space="preserve"> Российской Федерации N 190-ФЗ от 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 w:rsidRPr="00EF4D9C">
        <w:t>территорий сельского поселения </w:t>
      </w:r>
      <w:r w:rsidRPr="00EF4D9C">
        <w:t xml:space="preserve"> </w:t>
      </w:r>
      <w:r w:rsidR="00685674" w:rsidRPr="00EF4D9C">
        <w:t xml:space="preserve">Кузбаевский </w:t>
      </w:r>
      <w:r w:rsidRPr="00EF4D9C">
        <w:t>сельсовет муниципального района </w:t>
      </w:r>
      <w:r w:rsidR="00685674" w:rsidRPr="00EF4D9C">
        <w:t>Бураевский</w:t>
      </w:r>
      <w:r w:rsidRPr="00EF4D9C"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="00685674" w:rsidRPr="00EF4D9C">
        <w:t>Кузбаевский</w:t>
      </w:r>
      <w:r w:rsidRPr="00EF4D9C">
        <w:t xml:space="preserve"> сельсовет муниципального района </w:t>
      </w:r>
      <w:r w:rsidR="00685674" w:rsidRPr="00EF4D9C">
        <w:t>Бураевский</w:t>
      </w:r>
      <w:r w:rsidRPr="00EF4D9C">
        <w:t xml:space="preserve"> район Республики Башкортостан.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rPr>
          <w:b/>
          <w:bCs/>
        </w:rPr>
        <w:t>2. Содержание фасадов зданий, сооружений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2.1. Ремонт, оформление и содержание фасадов зданий и сооружений.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="00685674" w:rsidRPr="00EF4D9C">
        <w:t>Кузбаевский</w:t>
      </w:r>
      <w:r w:rsidRPr="00EF4D9C">
        <w:t xml:space="preserve"> сельсовет муниципального района </w:t>
      </w:r>
      <w:r w:rsidR="00685674" w:rsidRPr="00EF4D9C">
        <w:t>Бураевский</w:t>
      </w:r>
      <w:r w:rsidRPr="00EF4D9C">
        <w:t xml:space="preserve"> район Республики Башкортостан по согласованию с </w:t>
      </w:r>
      <w:r w:rsidR="0082688D" w:rsidRPr="00EF4D9C">
        <w:t>главным архитекто</w:t>
      </w:r>
      <w:r w:rsidRPr="00EF4D9C">
        <w:t>р</w:t>
      </w:r>
      <w:r w:rsidR="0082688D" w:rsidRPr="00EF4D9C">
        <w:t>ом</w:t>
      </w:r>
      <w:r w:rsidRPr="00EF4D9C">
        <w:t xml:space="preserve"> муниципального района </w:t>
      </w:r>
      <w:r w:rsidR="00685674" w:rsidRPr="00EF4D9C">
        <w:t>Бураевский</w:t>
      </w:r>
      <w:r w:rsidRPr="00EF4D9C">
        <w:t xml:space="preserve"> район Республики Башкортостан.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 xml:space="preserve">2.1.2. Необходимость проведения ремонта, в том числе окраски фасадов или улучшения архитектурной выразительности здания, определяется в соответствии со </w:t>
      </w:r>
      <w:r w:rsidRPr="00EF4D9C">
        <w:lastRenderedPageBreak/>
        <w:t>строительными, санитарными и иными нормами и правилами, с учетом фактического состояния фасада.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2.1.4. В случае ремонта, либо окраски фасада(-ов) здания в зоне охраны памятника(-ов) культурного наследия, необходимо согласование паспорта цветового решения фасада.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2.1.6. При эксплуатации зданий, сооружений запрещается: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685674" w:rsidRPr="00EF4D9C">
        <w:t>Кузбаевский</w:t>
      </w:r>
      <w:r w:rsidRPr="00EF4D9C">
        <w:t xml:space="preserve"> сельсовет муниципального района </w:t>
      </w:r>
      <w:r w:rsidR="00685674" w:rsidRPr="00EF4D9C">
        <w:t>Бураевский</w:t>
      </w:r>
      <w:r w:rsidRPr="00EF4D9C">
        <w:t xml:space="preserve"> район Республики Башкортостан;</w:t>
      </w:r>
    </w:p>
    <w:p w:rsidR="0029297B" w:rsidRPr="00EF4D9C" w:rsidRDefault="0029297B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rPr>
          <w:sz w:val="20"/>
          <w:szCs w:val="20"/>
        </w:rPr>
        <w:t xml:space="preserve">- </w:t>
      </w:r>
      <w:r w:rsidRPr="00EF4D9C">
        <w:t>нанесение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 Окна и витрины.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Дополнительными элементами устройства и оборудования окон и витрин являются: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2.2.5. Остекление окон и витрин на фасаде должно иметь единый характер.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2.2.7. Цветовое решение решеток и защитных ограждений должно иметь единый характер на фасаде.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lastRenderedPageBreak/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 Устройство и оборудование входных групп.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2.3.2. Основными элементами устройства и оборудования входных групп являются: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2.3.3. Дополнительными элементами устройства и оборудования входных групп являются: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2.3.7. Поверхность ступеней должна быть бучардированной и не допускать скольжения в любое время года.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2.3.10. Не допускается: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lastRenderedPageBreak/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 Дополнительное оборудование фасадов.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2.4.2. Основными видами дополнительного оборудования являются: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2.4.3. Системы технического обеспечения внутренней эксплуатации зданий: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антенны;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видеокамеры наружного наблюдения.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2.4.4. Техническое оборудование: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кабельные линии, пристенные электрощиты, технологические шкафы, наружные инженерные сети.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2.4.10. Размещение антенн допускается: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</w:t>
      </w:r>
      <w:r w:rsidRPr="00EF4D9C">
        <w:lastRenderedPageBreak/>
        <w:t>при ширине тротуара на прилегающем к фасаду участке не менее 3 м, либо на обособленных площадках.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консольно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над входом или рядом с входом в здание;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на участках фасада, нуждающихся в композиционном завершении.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2.4.15. Размещение банкоматов на фасадах допускается: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EF4D9C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9C">
        <w:rPr>
          <w:rFonts w:ascii="Times New Roman" w:hAnsi="Times New Roman" w:cs="Times New Roman"/>
          <w:sz w:val="24"/>
          <w:szCs w:val="24"/>
        </w:rPr>
        <w:t> </w:t>
      </w:r>
      <w:r w:rsidR="0071742B" w:rsidRPr="00EF4D9C">
        <w:rPr>
          <w:rFonts w:ascii="Times New Roman" w:hAnsi="Times New Roman" w:cs="Times New Roman"/>
          <w:sz w:val="24"/>
          <w:szCs w:val="24"/>
        </w:rPr>
        <w:t>2.5. Ответственность.</w:t>
      </w:r>
    </w:p>
    <w:p w:rsidR="0071742B" w:rsidRPr="00EF4D9C" w:rsidRDefault="0071742B" w:rsidP="0071742B">
      <w:pPr>
        <w:spacing w:after="0" w:line="240" w:lineRule="auto"/>
        <w:ind w:firstLine="708"/>
        <w:jc w:val="both"/>
      </w:pPr>
      <w:r w:rsidRPr="00E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Правила, виновные лица несут ответственность в соответствии с действующим законодательством.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right"/>
      </w:pPr>
      <w:r w:rsidRPr="00EF4D9C">
        <w:t>                                         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right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</w:t>
      </w:r>
    </w:p>
    <w:p w:rsidR="003C73A5" w:rsidRPr="00EF4D9C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EF4D9C">
        <w:t>             </w:t>
      </w:r>
    </w:p>
    <w:p w:rsidR="000000AE" w:rsidRPr="00EF4D9C" w:rsidRDefault="000000AE">
      <w:pPr>
        <w:rPr>
          <w:rFonts w:ascii="Times New Roman" w:hAnsi="Times New Roman" w:cs="Times New Roman"/>
        </w:rPr>
      </w:pPr>
    </w:p>
    <w:sectPr w:rsidR="000000AE" w:rsidRPr="00E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0000AE"/>
    <w:rsid w:val="00116E18"/>
    <w:rsid w:val="00236AA4"/>
    <w:rsid w:val="002776F9"/>
    <w:rsid w:val="0029297B"/>
    <w:rsid w:val="003242A5"/>
    <w:rsid w:val="003A5E37"/>
    <w:rsid w:val="003C1388"/>
    <w:rsid w:val="003C73A5"/>
    <w:rsid w:val="004C5A5C"/>
    <w:rsid w:val="004C5BC6"/>
    <w:rsid w:val="00685674"/>
    <w:rsid w:val="0071742B"/>
    <w:rsid w:val="00737A1C"/>
    <w:rsid w:val="0082688D"/>
    <w:rsid w:val="00876B95"/>
    <w:rsid w:val="00943AD2"/>
    <w:rsid w:val="00A82F26"/>
    <w:rsid w:val="00C65282"/>
    <w:rsid w:val="00EA1D93"/>
    <w:rsid w:val="00EF4D9C"/>
    <w:rsid w:val="00F9495B"/>
    <w:rsid w:val="00FC36AC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9CD0134-68CE-4FBF-82AD-44F4203D5E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387507C3-B80D-4C0D-9291-8CDC81673F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-search.minjust.ru/bigs/showDocument.html?id=AA3557DA-D1C0-421F-8A13-47C2BE2E9885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87507C3-B80D-4C0D-9291-8CDC81673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31</cp:revision>
  <cp:lastPrinted>2019-04-02T10:54:00Z</cp:lastPrinted>
  <dcterms:created xsi:type="dcterms:W3CDTF">2019-03-26T04:13:00Z</dcterms:created>
  <dcterms:modified xsi:type="dcterms:W3CDTF">2019-04-12T03:40:00Z</dcterms:modified>
</cp:coreProperties>
</file>