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6" w:rsidRDefault="00710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240737" w:rsidRPr="009731E3" w:rsidTr="00CD6602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73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9731E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9731E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>
                  <wp:extent cx="7524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Бураевский район, 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узбаево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</w:t>
            </w:r>
            <w:proofErr w:type="spellStart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240737" w:rsidRPr="009731E3" w:rsidRDefault="00240737" w:rsidP="00C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9731E3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97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A354D2" w:rsidRDefault="00240737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</w:t>
      </w:r>
    </w:p>
    <w:p w:rsidR="00240737" w:rsidRDefault="00240737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0737" w:rsidRDefault="00240737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 декабря 2019 года                                                                     № 45</w:t>
      </w: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>О</w:t>
      </w:r>
      <w:r w:rsidR="00A354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>вский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p w:rsidR="00710316" w:rsidRPr="00A354D2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240737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73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40737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24073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240737" w:rsidRPr="00240737">
        <w:rPr>
          <w:rFonts w:ascii="Times New Roman" w:hAnsi="Times New Roman" w:cs="Times New Roman"/>
          <w:sz w:val="28"/>
          <w:szCs w:val="28"/>
        </w:rPr>
        <w:t>23.01</w:t>
      </w:r>
      <w:r w:rsidR="00F82F49" w:rsidRPr="00240737">
        <w:rPr>
          <w:rFonts w:ascii="Times New Roman" w:hAnsi="Times New Roman" w:cs="Times New Roman"/>
          <w:sz w:val="28"/>
          <w:szCs w:val="28"/>
        </w:rPr>
        <w:t>.2014г  №</w:t>
      </w:r>
      <w:r w:rsidR="00240737" w:rsidRPr="00240737">
        <w:rPr>
          <w:rFonts w:ascii="Times New Roman" w:hAnsi="Times New Roman" w:cs="Times New Roman"/>
          <w:sz w:val="28"/>
          <w:szCs w:val="28"/>
        </w:rPr>
        <w:t>216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>муниципально</w:t>
      </w:r>
      <w:r w:rsidR="00E36503" w:rsidRPr="00240737">
        <w:rPr>
          <w:rFonts w:ascii="Times New Roman" w:hAnsi="Times New Roman" w:cs="Times New Roman"/>
          <w:sz w:val="28"/>
          <w:szCs w:val="28"/>
        </w:rPr>
        <w:t>го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503" w:rsidRPr="00240737">
        <w:rPr>
          <w:rFonts w:ascii="Times New Roman" w:hAnsi="Times New Roman" w:cs="Times New Roman"/>
          <w:sz w:val="28"/>
          <w:szCs w:val="28"/>
        </w:rPr>
        <w:t>а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Башкортостан"</w:t>
      </w:r>
      <w:r w:rsidR="00240737" w:rsidRPr="00240737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2407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F82F49" w:rsidRPr="0024073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  <w:proofErr w:type="gramEnd"/>
    </w:p>
    <w:p w:rsidR="00710316" w:rsidRPr="00240737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073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2407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0737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240737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0737" w:rsidRPr="00240737">
        <w:rPr>
          <w:rFonts w:ascii="Times New Roman" w:hAnsi="Times New Roman" w:cs="Times New Roman"/>
          <w:sz w:val="28"/>
          <w:szCs w:val="28"/>
        </w:rPr>
        <w:t>Кузбае</w:t>
      </w:r>
      <w:r w:rsidR="00E36503" w:rsidRPr="00240737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2F0C64" w:rsidRPr="0024073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4073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  <w:proofErr w:type="gramEnd"/>
    </w:p>
    <w:p w:rsidR="002F0C64" w:rsidRPr="00A354D2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35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4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40737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2F0C64" w:rsidRDefault="002F0C6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737" w:rsidRDefault="00FD30E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407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30E4" w:rsidRDefault="00240737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Ф.Б. Закиров</w:t>
      </w:r>
      <w:r w:rsidR="00FD3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Pr="00240737" w:rsidRDefault="00240737" w:rsidP="0024073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10316" w:rsidRPr="00240737">
        <w:rPr>
          <w:rFonts w:ascii="Times New Roman" w:hAnsi="Times New Roman" w:cs="Times New Roman"/>
          <w:sz w:val="24"/>
          <w:szCs w:val="24"/>
        </w:rPr>
        <w:t>Утвержден</w:t>
      </w:r>
    </w:p>
    <w:p w:rsidR="00710316" w:rsidRPr="00240737" w:rsidRDefault="0024073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Решением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 </w:t>
      </w:r>
      <w:r w:rsidRPr="00240737">
        <w:rPr>
          <w:rFonts w:ascii="Times New Roman" w:hAnsi="Times New Roman" w:cs="Times New Roman"/>
          <w:sz w:val="24"/>
          <w:szCs w:val="24"/>
        </w:rPr>
        <w:t>Совета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0C64" w:rsidRPr="00240737" w:rsidRDefault="0024073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Кузбаевский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5646E" w:rsidRPr="00240737">
        <w:rPr>
          <w:rFonts w:ascii="Times New Roman" w:hAnsi="Times New Roman" w:cs="Times New Roman"/>
          <w:sz w:val="24"/>
          <w:szCs w:val="24"/>
        </w:rPr>
        <w:t>м</w:t>
      </w:r>
      <w:r w:rsidR="002F0C64" w:rsidRPr="00240737">
        <w:rPr>
          <w:rFonts w:ascii="Times New Roman" w:hAnsi="Times New Roman" w:cs="Times New Roman"/>
          <w:sz w:val="24"/>
          <w:szCs w:val="24"/>
        </w:rPr>
        <w:t>униципального района Бураевский</w:t>
      </w:r>
    </w:p>
    <w:p w:rsidR="002F0C64" w:rsidRPr="00240737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р</w:t>
      </w:r>
      <w:r w:rsidR="002F0C64" w:rsidRPr="00240737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240737" w:rsidRDefault="00693D7A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о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т </w:t>
      </w:r>
      <w:r w:rsidR="00240737" w:rsidRPr="00240737">
        <w:rPr>
          <w:rFonts w:ascii="Times New Roman" w:hAnsi="Times New Roman" w:cs="Times New Roman"/>
          <w:sz w:val="24"/>
          <w:szCs w:val="24"/>
        </w:rPr>
        <w:t>23</w:t>
      </w:r>
      <w:r w:rsidRPr="0024073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40737" w:rsidRPr="00240737">
        <w:rPr>
          <w:rFonts w:ascii="Times New Roman" w:hAnsi="Times New Roman" w:cs="Times New Roman"/>
          <w:sz w:val="24"/>
          <w:szCs w:val="24"/>
        </w:rPr>
        <w:t>2019г.№ 45</w:t>
      </w:r>
    </w:p>
    <w:p w:rsidR="00710316" w:rsidRPr="00A354D2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240737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240737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37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240737">
        <w:rPr>
          <w:rFonts w:ascii="Times New Roman" w:hAnsi="Times New Roman" w:cs="Times New Roman"/>
          <w:sz w:val="24"/>
          <w:szCs w:val="24"/>
        </w:rPr>
        <w:t>КУЗБАЕВСКИЙ</w:t>
      </w:r>
      <w:r w:rsidR="00E36503" w:rsidRPr="0024073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240737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240737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A354D2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91198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240737" w:rsidRPr="00591198">
        <w:rPr>
          <w:rFonts w:ascii="Times New Roman" w:hAnsi="Times New Roman" w:cs="Times New Roman"/>
          <w:sz w:val="24"/>
          <w:szCs w:val="24"/>
        </w:rPr>
        <w:t>23.01</w:t>
      </w:r>
      <w:r w:rsidR="00F82F49" w:rsidRPr="00591198">
        <w:rPr>
          <w:rFonts w:ascii="Times New Roman" w:hAnsi="Times New Roman" w:cs="Times New Roman"/>
          <w:sz w:val="24"/>
          <w:szCs w:val="24"/>
        </w:rPr>
        <w:t>.2014г  №</w:t>
      </w:r>
      <w:r w:rsidR="00240737" w:rsidRPr="00591198">
        <w:rPr>
          <w:rFonts w:ascii="Times New Roman" w:hAnsi="Times New Roman" w:cs="Times New Roman"/>
          <w:sz w:val="24"/>
          <w:szCs w:val="24"/>
        </w:rPr>
        <w:t>216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бюджетном процессе в </w:t>
      </w:r>
      <w:r w:rsidR="00E36503" w:rsidRPr="0059119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240737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82F49" w:rsidRPr="00591198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591198">
        <w:rPr>
          <w:rFonts w:ascii="Times New Roman" w:hAnsi="Times New Roman" w:cs="Times New Roman"/>
          <w:sz w:val="24"/>
          <w:szCs w:val="24"/>
        </w:rPr>
        <w:t>го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591198">
        <w:rPr>
          <w:rFonts w:ascii="Times New Roman" w:hAnsi="Times New Roman" w:cs="Times New Roman"/>
          <w:sz w:val="24"/>
          <w:szCs w:val="24"/>
        </w:rPr>
        <w:t>а</w:t>
      </w:r>
      <w:r w:rsidR="00F82F49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591198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по расходам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0737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59119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591198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и</w:t>
      </w:r>
      <w:r w:rsidRPr="00591198">
        <w:rPr>
          <w:rFonts w:ascii="Times New Roman" w:hAnsi="Times New Roman" w:cs="Times New Roman"/>
          <w:sz w:val="24"/>
          <w:szCs w:val="24"/>
        </w:rPr>
        <w:t>,</w:t>
      </w:r>
      <w:r w:rsidR="0036372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63726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за два рабочих дня до окончания текущего финансового года - платежные документы по </w:t>
      </w:r>
      <w:r w:rsidRPr="00591198">
        <w:rPr>
          <w:rFonts w:ascii="Times New Roman" w:hAnsi="Times New Roman" w:cs="Times New Roman"/>
          <w:sz w:val="24"/>
          <w:szCs w:val="24"/>
        </w:rPr>
        <w:lastRenderedPageBreak/>
        <w:t>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591198">
        <w:rPr>
          <w:rFonts w:ascii="Times New Roman" w:hAnsi="Times New Roman" w:cs="Times New Roman"/>
          <w:sz w:val="24"/>
          <w:szCs w:val="24"/>
        </w:rPr>
        <w:t>муниципаль</w:t>
      </w:r>
      <w:r w:rsidRPr="00591198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Азяковский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5911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кассовые выплаты из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59119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591198" w:rsidRDefault="0059119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0316" w:rsidRPr="0059119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2F0C6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591198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591198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="00710316" w:rsidRPr="00591198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CF0AC4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Pr="00591198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951DC7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</w:t>
      </w:r>
      <w:r w:rsidRPr="00591198">
        <w:rPr>
          <w:rFonts w:ascii="Times New Roman" w:hAnsi="Times New Roman" w:cs="Times New Roman"/>
          <w:sz w:val="24"/>
          <w:szCs w:val="24"/>
        </w:rPr>
        <w:lastRenderedPageBreak/>
        <w:t>4020</w:t>
      </w:r>
      <w:r w:rsidR="00951DC7" w:rsidRPr="00591198">
        <w:rPr>
          <w:rFonts w:ascii="Times New Roman" w:hAnsi="Times New Roman" w:cs="Times New Roman"/>
          <w:sz w:val="24"/>
          <w:szCs w:val="24"/>
        </w:rPr>
        <w:t>4</w:t>
      </w:r>
      <w:r w:rsidRPr="00591198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951DC7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случаев, установленных законодательством Российской Федерации.</w:t>
      </w:r>
      <w:bookmarkStart w:id="2" w:name="_GoBack"/>
      <w:bookmarkEnd w:id="2"/>
    </w:p>
    <w:p w:rsidR="00710316" w:rsidRPr="00591198" w:rsidRDefault="0059119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59119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591198" w:rsidRDefault="0059119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591198" w:rsidRDefault="0059119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10316" w:rsidRPr="0059119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591198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591198">
        <w:rPr>
          <w:rFonts w:ascii="Times New Roman" w:hAnsi="Times New Roman" w:cs="Times New Roman"/>
          <w:sz w:val="24"/>
          <w:szCs w:val="24"/>
        </w:rPr>
        <w:t xml:space="preserve">Республики Башкортостан по причине неверного указания в платежных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поручениях</w:t>
      </w:r>
      <w:proofErr w:type="gramEnd"/>
      <w:r w:rsidRPr="00591198">
        <w:rPr>
          <w:rFonts w:ascii="Times New Roman" w:hAnsi="Times New Roman" w:cs="Times New Roman"/>
          <w:sz w:val="24"/>
          <w:szCs w:val="24"/>
        </w:rPr>
        <w:t xml:space="preserve"> реквизитов получателя платежа,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Азяковский сельсовет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59119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1198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710316" w:rsidRPr="00591198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198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591198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59119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591198">
        <w:rPr>
          <w:rFonts w:ascii="Times New Roman" w:hAnsi="Times New Roman" w:cs="Times New Roman"/>
          <w:sz w:val="24"/>
          <w:szCs w:val="24"/>
        </w:rPr>
        <w:t>10</w:t>
      </w:r>
      <w:r w:rsidRPr="00591198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591198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2" w:history="1">
        <w:r w:rsidR="00710316" w:rsidRPr="00591198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59119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591198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</w:t>
      </w:r>
      <w:r w:rsidRPr="00591198">
        <w:rPr>
          <w:rFonts w:ascii="Times New Roman" w:hAnsi="Times New Roman" w:cs="Times New Roman"/>
          <w:sz w:val="24"/>
          <w:szCs w:val="24"/>
        </w:rPr>
        <w:lastRenderedPageBreak/>
        <w:t>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бюджета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342AEF" w:rsidRPr="00591198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</w:t>
      </w:r>
      <w:proofErr w:type="gramStart"/>
      <w:r w:rsidRPr="0059119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="00E36503" w:rsidRPr="005911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91198" w:rsidRPr="00591198">
        <w:rPr>
          <w:rFonts w:ascii="Times New Roman" w:hAnsi="Times New Roman" w:cs="Times New Roman"/>
          <w:sz w:val="24"/>
          <w:szCs w:val="24"/>
        </w:rPr>
        <w:t>Кузбае</w:t>
      </w:r>
      <w:r w:rsidR="00E36503" w:rsidRPr="00591198">
        <w:rPr>
          <w:rFonts w:ascii="Times New Roman" w:hAnsi="Times New Roman" w:cs="Times New Roman"/>
          <w:sz w:val="24"/>
          <w:szCs w:val="24"/>
        </w:rPr>
        <w:t>вский сельсовет</w:t>
      </w:r>
      <w:r w:rsidR="00342AEF" w:rsidRPr="0059119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59119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59119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98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59119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91198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  <w:proofErr w:type="gramEnd"/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16"/>
    <w:rsid w:val="001D52A4"/>
    <w:rsid w:val="00240737"/>
    <w:rsid w:val="002E01B0"/>
    <w:rsid w:val="002F0C64"/>
    <w:rsid w:val="00314DD8"/>
    <w:rsid w:val="00342AEF"/>
    <w:rsid w:val="00363726"/>
    <w:rsid w:val="004713C5"/>
    <w:rsid w:val="0049079E"/>
    <w:rsid w:val="004D7C97"/>
    <w:rsid w:val="00591198"/>
    <w:rsid w:val="00624E91"/>
    <w:rsid w:val="0065646E"/>
    <w:rsid w:val="00693D7A"/>
    <w:rsid w:val="00710316"/>
    <w:rsid w:val="00714A08"/>
    <w:rsid w:val="00786733"/>
    <w:rsid w:val="00951DC7"/>
    <w:rsid w:val="00984F84"/>
    <w:rsid w:val="00A11F36"/>
    <w:rsid w:val="00A354D2"/>
    <w:rsid w:val="00B46EF0"/>
    <w:rsid w:val="00CF0AC4"/>
    <w:rsid w:val="00E24EAF"/>
    <w:rsid w:val="00E36503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2" Type="http://schemas.openxmlformats.org/officeDocument/2006/relationships/hyperlink" Target="consultantplus://offline/ref=93B110D9860F001DBF76A591912ACF260076EDAC68EDDC798ED238ED2333D2B46EE96F4B5EC4F0F0AC625B34CCC3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1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17</cp:revision>
  <cp:lastPrinted>2019-12-26T12:00:00Z</cp:lastPrinted>
  <dcterms:created xsi:type="dcterms:W3CDTF">2018-12-20T06:21:00Z</dcterms:created>
  <dcterms:modified xsi:type="dcterms:W3CDTF">2019-12-26T12:02:00Z</dcterms:modified>
</cp:coreProperties>
</file>